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F23FF" w14:textId="4C805051" w:rsidR="0083008F" w:rsidRDefault="00706597" w:rsidP="00706597">
      <w:pPr>
        <w:ind w:left="720" w:firstLine="720"/>
        <w:rPr>
          <w:b/>
          <w:bCs/>
          <w:sz w:val="28"/>
          <w:szCs w:val="28"/>
        </w:rPr>
      </w:pPr>
      <w:r w:rsidRPr="00706597">
        <w:rPr>
          <w:b/>
          <w:bCs/>
          <w:sz w:val="28"/>
          <w:szCs w:val="28"/>
        </w:rPr>
        <w:t>Court cases Supporting NO LICENSE NEEDED  to practice law</w:t>
      </w:r>
    </w:p>
    <w:p w14:paraId="71960086" w14:textId="229F115D" w:rsidR="00706597" w:rsidRDefault="00706597" w:rsidP="00706597">
      <w:pPr>
        <w:rPr>
          <w:b/>
          <w:bCs/>
          <w:sz w:val="28"/>
          <w:szCs w:val="28"/>
        </w:rPr>
      </w:pPr>
    </w:p>
    <w:p w14:paraId="4B69D9DA" w14:textId="59FCF179" w:rsidR="00706597" w:rsidRDefault="00706597" w:rsidP="00706597">
      <w:pPr>
        <w:rPr>
          <w:b/>
          <w:bCs/>
          <w:sz w:val="28"/>
          <w:szCs w:val="28"/>
        </w:rPr>
      </w:pPr>
      <w:r w:rsidRPr="00706597">
        <w:rPr>
          <w:b/>
          <w:bCs/>
          <w:sz w:val="28"/>
          <w:szCs w:val="28"/>
        </w:rPr>
        <w:t>Subject</w:t>
      </w:r>
      <w:r w:rsidRPr="00706597">
        <w:rPr>
          <w:sz w:val="28"/>
          <w:szCs w:val="28"/>
        </w:rPr>
        <w:t xml:space="preserve">: </w:t>
      </w:r>
      <w:r w:rsidRPr="00706597">
        <w:rPr>
          <w:b/>
          <w:bCs/>
          <w:sz w:val="28"/>
          <w:szCs w:val="28"/>
        </w:rPr>
        <w:t>Supreme Court cases supporting no license needed to practice law.</w:t>
      </w:r>
    </w:p>
    <w:p w14:paraId="57C89768" w14:textId="6E48AB7A" w:rsidR="00706597" w:rsidRPr="00706597" w:rsidRDefault="00706597" w:rsidP="00706597">
      <w:pPr>
        <w:rPr>
          <w:sz w:val="24"/>
          <w:szCs w:val="24"/>
        </w:rPr>
      </w:pPr>
      <w:r w:rsidRPr="00706597">
        <w:rPr>
          <w:sz w:val="24"/>
          <w:szCs w:val="24"/>
        </w:rPr>
        <w:t>If you ever get attacked for practicing law without a license.</w:t>
      </w:r>
    </w:p>
    <w:p w14:paraId="74E75B15" w14:textId="1E8D4A8D" w:rsidR="00706597" w:rsidRDefault="00706597" w:rsidP="00706597">
      <w:pPr>
        <w:rPr>
          <w:sz w:val="24"/>
          <w:szCs w:val="24"/>
        </w:rPr>
      </w:pPr>
      <w:r w:rsidRPr="00706597">
        <w:rPr>
          <w:sz w:val="24"/>
          <w:szCs w:val="24"/>
        </w:rPr>
        <w:t>Reference Court Cases:</w:t>
      </w:r>
    </w:p>
    <w:p w14:paraId="2D71C96F" w14:textId="075CA07F" w:rsidR="00706597" w:rsidRDefault="00706597" w:rsidP="00706597">
      <w:pPr>
        <w:rPr>
          <w:sz w:val="24"/>
          <w:szCs w:val="24"/>
        </w:rPr>
      </w:pPr>
      <w:r>
        <w:rPr>
          <w:sz w:val="24"/>
          <w:szCs w:val="24"/>
        </w:rPr>
        <w:t>Picking v. Pennsylvania R. Co. 151 Fed. 2</w:t>
      </w:r>
      <w:r w:rsidRPr="00706597">
        <w:rPr>
          <w:sz w:val="24"/>
          <w:szCs w:val="24"/>
          <w:vertAlign w:val="superscript"/>
        </w:rPr>
        <w:t>nd</w:t>
      </w:r>
      <w:r>
        <w:rPr>
          <w:sz w:val="24"/>
          <w:szCs w:val="24"/>
        </w:rPr>
        <w:t xml:space="preserve"> 240; </w:t>
      </w:r>
      <w:proofErr w:type="spellStart"/>
      <w:r>
        <w:rPr>
          <w:sz w:val="24"/>
          <w:szCs w:val="24"/>
        </w:rPr>
        <w:t>Pucket</w:t>
      </w:r>
      <w:proofErr w:type="spellEnd"/>
      <w:r>
        <w:rPr>
          <w:sz w:val="24"/>
          <w:szCs w:val="24"/>
        </w:rPr>
        <w:t xml:space="preserve"> v. Cox 456 2</w:t>
      </w:r>
      <w:r w:rsidRPr="00706597">
        <w:rPr>
          <w:sz w:val="24"/>
          <w:szCs w:val="24"/>
          <w:vertAlign w:val="superscript"/>
        </w:rPr>
        <w:t>nd</w:t>
      </w:r>
      <w:r>
        <w:rPr>
          <w:sz w:val="24"/>
          <w:szCs w:val="24"/>
        </w:rPr>
        <w:t xml:space="preserve"> 233. Pro se pleadings are to be considered without regard to technicality; pro se </w:t>
      </w:r>
      <w:proofErr w:type="gramStart"/>
      <w:r>
        <w:rPr>
          <w:sz w:val="24"/>
          <w:szCs w:val="24"/>
        </w:rPr>
        <w:t>litigants</w:t>
      </w:r>
      <w:proofErr w:type="gramEnd"/>
      <w:r>
        <w:rPr>
          <w:sz w:val="24"/>
          <w:szCs w:val="24"/>
        </w:rPr>
        <w:t xml:space="preserve"> pleadings are not to be held to the same high standards of perfection as lawyers.</w:t>
      </w:r>
    </w:p>
    <w:p w14:paraId="0785DDDD" w14:textId="40CF10B2" w:rsidR="00706597" w:rsidRDefault="00706597" w:rsidP="00706597">
      <w:pPr>
        <w:rPr>
          <w:sz w:val="24"/>
          <w:szCs w:val="24"/>
        </w:rPr>
      </w:pPr>
      <w:proofErr w:type="spellStart"/>
      <w:r>
        <w:rPr>
          <w:sz w:val="24"/>
          <w:szCs w:val="24"/>
        </w:rPr>
        <w:t>Platsky</w:t>
      </w:r>
      <w:proofErr w:type="spellEnd"/>
      <w:r>
        <w:rPr>
          <w:sz w:val="24"/>
          <w:szCs w:val="24"/>
        </w:rPr>
        <w:t xml:space="preserve"> v. C.I.A. 953 F. 2d. 25. Additionally, pro se litigants are to be given reasonable opportunity to remedy the defects in their pleadings. </w:t>
      </w:r>
      <w:proofErr w:type="spellStart"/>
      <w:r>
        <w:rPr>
          <w:sz w:val="24"/>
          <w:szCs w:val="24"/>
        </w:rPr>
        <w:t>Reynoldson</w:t>
      </w:r>
      <w:proofErr w:type="spellEnd"/>
      <w:r>
        <w:rPr>
          <w:sz w:val="24"/>
          <w:szCs w:val="24"/>
        </w:rPr>
        <w:t xml:space="preserve"> v. </w:t>
      </w:r>
      <w:proofErr w:type="spellStart"/>
      <w:r>
        <w:rPr>
          <w:sz w:val="24"/>
          <w:szCs w:val="24"/>
        </w:rPr>
        <w:t>Shillinger</w:t>
      </w:r>
      <w:proofErr w:type="spellEnd"/>
      <w:r>
        <w:rPr>
          <w:sz w:val="24"/>
          <w:szCs w:val="24"/>
        </w:rPr>
        <w:t xml:space="preserve"> 907F. 2d 124, 126 (10</w:t>
      </w:r>
      <w:r w:rsidRPr="00706597">
        <w:rPr>
          <w:sz w:val="24"/>
          <w:szCs w:val="24"/>
          <w:vertAlign w:val="superscript"/>
        </w:rPr>
        <w:t>th</w:t>
      </w:r>
      <w:r>
        <w:rPr>
          <w:sz w:val="24"/>
          <w:szCs w:val="24"/>
        </w:rPr>
        <w:t xml:space="preserve"> Cir. 1990); See also Jaxon v. Circle K. Corp. 773 F. 2d 1138, 1140 (10</w:t>
      </w:r>
      <w:r w:rsidRPr="00706597">
        <w:rPr>
          <w:sz w:val="24"/>
          <w:szCs w:val="24"/>
          <w:vertAlign w:val="superscript"/>
        </w:rPr>
        <w:t>th</w:t>
      </w:r>
      <w:r>
        <w:rPr>
          <w:sz w:val="24"/>
          <w:szCs w:val="24"/>
        </w:rPr>
        <w:t xml:space="preserve"> Cir. 1985) (1)</w:t>
      </w:r>
    </w:p>
    <w:p w14:paraId="62C0421F" w14:textId="436288A0" w:rsidR="00706597" w:rsidRDefault="00706597" w:rsidP="00706597">
      <w:pPr>
        <w:rPr>
          <w:sz w:val="24"/>
          <w:szCs w:val="24"/>
        </w:rPr>
      </w:pPr>
      <w:r>
        <w:rPr>
          <w:sz w:val="24"/>
          <w:szCs w:val="24"/>
        </w:rPr>
        <w:t>Haines v. Kerner (92 S Ct. 594)</w:t>
      </w:r>
      <w:r w:rsidR="006B5BCF">
        <w:rPr>
          <w:sz w:val="24"/>
          <w:szCs w:val="24"/>
        </w:rPr>
        <w:t>. The respondent in this action is a nonlawyer and is moving forward in propria persona.</w:t>
      </w:r>
    </w:p>
    <w:p w14:paraId="3620311A" w14:textId="7E28BD8B" w:rsidR="006B5BCF" w:rsidRDefault="006B5BCF" w:rsidP="00706597">
      <w:pPr>
        <w:rPr>
          <w:sz w:val="24"/>
          <w:szCs w:val="24"/>
        </w:rPr>
      </w:pPr>
      <w:r>
        <w:rPr>
          <w:sz w:val="24"/>
          <w:szCs w:val="24"/>
        </w:rPr>
        <w:t>NAACP v. Button (371 U.S. 415); United Mineworkers of America v. Gibbs (383 U.S. 715); and Johnson v. Avery 89 S. Ct. 747 (1969). Members of groups who are competent nonlawyers can assist other members of the group achieve the goals of the group in court without</w:t>
      </w:r>
      <w:r w:rsidR="00DF5DA7">
        <w:rPr>
          <w:sz w:val="24"/>
          <w:szCs w:val="24"/>
        </w:rPr>
        <w:t xml:space="preserve"> being charged with “unauthorized practice of law.”</w:t>
      </w:r>
    </w:p>
    <w:p w14:paraId="7BFC68A4" w14:textId="36749A52" w:rsidR="00DF5DA7" w:rsidRDefault="00DF5DA7" w:rsidP="00706597">
      <w:pPr>
        <w:rPr>
          <w:sz w:val="24"/>
          <w:szCs w:val="24"/>
        </w:rPr>
      </w:pPr>
      <w:r>
        <w:rPr>
          <w:sz w:val="24"/>
          <w:szCs w:val="24"/>
        </w:rPr>
        <w:t>Brotherhood of Trainmen v. Virginia ex rel. Virginia State Bar (377 U.S. 1); Gideon v. Wainwright 372 U.S. 335; Argersinger v. Hamlin, Sheriff 407 U.S. 425. Litigants may be assisted by unlicensed laymen during judicial proceedings.</w:t>
      </w:r>
    </w:p>
    <w:p w14:paraId="325119AD" w14:textId="6D203B2A" w:rsidR="00DF5DA7" w:rsidRDefault="00DF5DA7" w:rsidP="00706597">
      <w:pPr>
        <w:rPr>
          <w:sz w:val="24"/>
          <w:szCs w:val="24"/>
        </w:rPr>
      </w:pPr>
      <w:r>
        <w:rPr>
          <w:sz w:val="24"/>
          <w:szCs w:val="24"/>
        </w:rPr>
        <w:t>Howlett v. Rose, 496 U.S. 356 (1990) Federal Law and Supreme Court Cases apply to State Court Cases.</w:t>
      </w:r>
    </w:p>
    <w:p w14:paraId="088AA542" w14:textId="219326A1" w:rsidR="00DF5DA7" w:rsidRDefault="00DF5DA7" w:rsidP="00706597">
      <w:pPr>
        <w:rPr>
          <w:sz w:val="24"/>
          <w:szCs w:val="24"/>
        </w:rPr>
      </w:pPr>
      <w:r>
        <w:rPr>
          <w:sz w:val="24"/>
          <w:szCs w:val="24"/>
        </w:rPr>
        <w:t xml:space="preserve">Federal Rules Civil </w:t>
      </w:r>
      <w:proofErr w:type="gramStart"/>
      <w:r>
        <w:rPr>
          <w:sz w:val="24"/>
          <w:szCs w:val="24"/>
        </w:rPr>
        <w:t>Proc..</w:t>
      </w:r>
      <w:proofErr w:type="gramEnd"/>
      <w:r>
        <w:rPr>
          <w:sz w:val="24"/>
          <w:szCs w:val="24"/>
        </w:rPr>
        <w:t xml:space="preserve"> Rule 17, 28 U.S.C.A. “Next Friend” A next friend is a person who represents someone who is unable to tend to his or her own interest</w:t>
      </w:r>
      <w:proofErr w:type="gramStart"/>
      <w:r>
        <w:rPr>
          <w:sz w:val="24"/>
          <w:szCs w:val="24"/>
        </w:rPr>
        <w:t>…..</w:t>
      </w:r>
      <w:proofErr w:type="gramEnd"/>
    </w:p>
    <w:p w14:paraId="253DA0D8" w14:textId="26C64AD8" w:rsidR="00DF5DA7" w:rsidRDefault="00DF5DA7" w:rsidP="00706597">
      <w:pPr>
        <w:rPr>
          <w:sz w:val="24"/>
          <w:szCs w:val="24"/>
        </w:rPr>
      </w:pPr>
      <w:r>
        <w:rPr>
          <w:sz w:val="24"/>
          <w:szCs w:val="24"/>
        </w:rPr>
        <w:t xml:space="preserve">Oklahoma Court Rules and Procedures, Title 12, sec. 2017 </w:t>
      </w:r>
      <w:r w:rsidR="00835726">
        <w:rPr>
          <w:sz w:val="24"/>
          <w:szCs w:val="24"/>
        </w:rPr>
        <w:t>©</w:t>
      </w:r>
      <w:r>
        <w:rPr>
          <w:sz w:val="24"/>
          <w:szCs w:val="24"/>
        </w:rPr>
        <w:t xml:space="preserve"> “If an infant or incompetent person does not have a duly appointed representative he may sue by his next friend or by a guardian ad litem.”</w:t>
      </w:r>
    </w:p>
    <w:p w14:paraId="62A79A15" w14:textId="7532876B" w:rsidR="00DF5DA7" w:rsidRDefault="00DF5DA7" w:rsidP="00706597">
      <w:pPr>
        <w:rPr>
          <w:sz w:val="24"/>
          <w:szCs w:val="24"/>
        </w:rPr>
      </w:pPr>
      <w:proofErr w:type="spellStart"/>
      <w:r>
        <w:rPr>
          <w:sz w:val="24"/>
          <w:szCs w:val="24"/>
        </w:rPr>
        <w:t>Mandonado</w:t>
      </w:r>
      <w:proofErr w:type="spellEnd"/>
      <w:r>
        <w:rPr>
          <w:sz w:val="24"/>
          <w:szCs w:val="24"/>
        </w:rPr>
        <w:t>-Denis v. Castillo-Rodriguez, 23 F. 3d 576 (1st Cir. 1994) Inadequate training of subordinates may be basis for 1983 claim.</w:t>
      </w:r>
    </w:p>
    <w:p w14:paraId="2E82193F" w14:textId="4D851904" w:rsidR="00DF5DA7" w:rsidRPr="00706597" w:rsidRDefault="00DF5DA7" w:rsidP="00706597">
      <w:pPr>
        <w:rPr>
          <w:sz w:val="24"/>
          <w:szCs w:val="24"/>
        </w:rPr>
      </w:pPr>
      <w:r>
        <w:rPr>
          <w:sz w:val="24"/>
          <w:szCs w:val="24"/>
        </w:rPr>
        <w:t xml:space="preserve">Warnock </w:t>
      </w:r>
      <w:r w:rsidR="00835726">
        <w:rPr>
          <w:sz w:val="24"/>
          <w:szCs w:val="24"/>
        </w:rPr>
        <w:t>v. Pecos County, Tex., 88 F3d 341 (5</w:t>
      </w:r>
      <w:r w:rsidR="00835726" w:rsidRPr="00835726">
        <w:rPr>
          <w:sz w:val="24"/>
          <w:szCs w:val="24"/>
          <w:vertAlign w:val="superscript"/>
        </w:rPr>
        <w:t>th</w:t>
      </w:r>
      <w:r w:rsidR="00835726">
        <w:rPr>
          <w:sz w:val="24"/>
          <w:szCs w:val="24"/>
        </w:rPr>
        <w:t xml:space="preserve"> Cir. 1996) Eleventh Amendment does not protect state officials from claims for prospective relief when it is alleged that state officials acted in violation of federal law.</w:t>
      </w:r>
    </w:p>
    <w:p w14:paraId="72CDB02A" w14:textId="77777777" w:rsidR="00706597" w:rsidRPr="00706597" w:rsidRDefault="00706597" w:rsidP="00706597">
      <w:pPr>
        <w:rPr>
          <w:sz w:val="28"/>
          <w:szCs w:val="28"/>
        </w:rPr>
      </w:pPr>
    </w:p>
    <w:p w14:paraId="7784F890" w14:textId="4340A0FA" w:rsidR="00706597" w:rsidRDefault="00706597"/>
    <w:p w14:paraId="216C699E" w14:textId="571CA139" w:rsidR="00706597" w:rsidRDefault="00706597"/>
    <w:tbl>
      <w:tblPr>
        <w:tblW w:w="13230" w:type="dxa"/>
        <w:tblCellSpacing w:w="15" w:type="dxa"/>
        <w:tblBorders>
          <w:top w:val="dashed" w:sz="6" w:space="0" w:color="BBBBBB"/>
          <w:left w:val="dashed" w:sz="6" w:space="0" w:color="BBBBBB"/>
          <w:bottom w:val="dashed" w:sz="6" w:space="0" w:color="BBBBBB"/>
          <w:right w:val="dashed" w:sz="6" w:space="0" w:color="BBBBBB"/>
        </w:tblBorders>
        <w:tblCellMar>
          <w:top w:w="15" w:type="dxa"/>
          <w:left w:w="15" w:type="dxa"/>
          <w:bottom w:w="15" w:type="dxa"/>
          <w:right w:w="15" w:type="dxa"/>
        </w:tblCellMar>
        <w:tblLook w:val="04A0" w:firstRow="1" w:lastRow="0" w:firstColumn="1" w:lastColumn="0" w:noHBand="0" w:noVBand="1"/>
      </w:tblPr>
      <w:tblGrid>
        <w:gridCol w:w="13230"/>
      </w:tblGrid>
      <w:tr w:rsidR="00706597" w:rsidRPr="00706597" w14:paraId="1655978A" w14:textId="77777777" w:rsidTr="00706597">
        <w:trPr>
          <w:tblCellSpacing w:w="15" w:type="dxa"/>
        </w:trPr>
        <w:tc>
          <w:tcPr>
            <w:tcW w:w="0" w:type="auto"/>
            <w:tcBorders>
              <w:top w:val="dashed" w:sz="6" w:space="0" w:color="BBBBBB"/>
              <w:left w:val="dashed" w:sz="6" w:space="0" w:color="BBBBBB"/>
              <w:bottom w:val="dashed" w:sz="6" w:space="0" w:color="BBBBBB"/>
              <w:right w:val="dashed" w:sz="6" w:space="0" w:color="BBBBBB"/>
            </w:tcBorders>
            <w:shd w:val="clear" w:color="auto" w:fill="EEEEEE"/>
            <w:vAlign w:val="center"/>
            <w:hideMark/>
          </w:tcPr>
          <w:p w14:paraId="375D6E19" w14:textId="77777777" w:rsidR="00706597" w:rsidRPr="00706597" w:rsidRDefault="00706597" w:rsidP="00706597">
            <w:pPr>
              <w:spacing w:after="150" w:line="240" w:lineRule="auto"/>
              <w:rPr>
                <w:rFonts w:ascii="Verdana" w:eastAsia="Times New Roman" w:hAnsi="Verdana" w:cs="Times New Roman"/>
                <w:color w:val="000000"/>
                <w:sz w:val="21"/>
                <w:szCs w:val="21"/>
              </w:rPr>
            </w:pPr>
            <w:r w:rsidRPr="00706597">
              <w:rPr>
                <w:rFonts w:ascii="Verdana" w:eastAsia="Times New Roman" w:hAnsi="Verdana" w:cs="Times New Roman"/>
                <w:b/>
                <w:bCs/>
                <w:color w:val="000000"/>
                <w:sz w:val="21"/>
                <w:szCs w:val="21"/>
              </w:rPr>
              <w:t>Court cases supporting no license needed to practice law</w:t>
            </w:r>
          </w:p>
        </w:tc>
      </w:tr>
      <w:tr w:rsidR="00706597" w:rsidRPr="00706597" w14:paraId="513B9199" w14:textId="77777777" w:rsidTr="00706597">
        <w:trPr>
          <w:tblCellSpacing w:w="15" w:type="dxa"/>
        </w:trPr>
        <w:tc>
          <w:tcPr>
            <w:tcW w:w="0" w:type="auto"/>
            <w:tcBorders>
              <w:top w:val="dashed" w:sz="6" w:space="0" w:color="BBBBBB"/>
              <w:left w:val="dashed" w:sz="6" w:space="0" w:color="BBBBBB"/>
              <w:bottom w:val="dashed" w:sz="6" w:space="0" w:color="BBBBBB"/>
              <w:right w:val="dashed" w:sz="6" w:space="0" w:color="BBBBBB"/>
            </w:tcBorders>
            <w:vAlign w:val="center"/>
            <w:hideMark/>
          </w:tcPr>
          <w:p w14:paraId="6CA35688" w14:textId="77777777" w:rsidR="00706597" w:rsidRPr="00706597" w:rsidRDefault="00706597" w:rsidP="00706597">
            <w:pPr>
              <w:spacing w:after="0" w:line="240" w:lineRule="auto"/>
              <w:rPr>
                <w:rFonts w:ascii="Verdana" w:eastAsia="Times New Roman" w:hAnsi="Verdana" w:cs="Times New Roman"/>
                <w:color w:val="000000"/>
                <w:sz w:val="21"/>
                <w:szCs w:val="21"/>
              </w:rPr>
            </w:pPr>
            <w:r w:rsidRPr="00706597">
              <w:rPr>
                <w:rFonts w:ascii="Verdana" w:eastAsia="Times New Roman" w:hAnsi="Verdana" w:cs="Times New Roman"/>
                <w:color w:val="000000"/>
                <w:sz w:val="21"/>
                <w:szCs w:val="21"/>
              </w:rPr>
              <w:t> </w:t>
            </w:r>
          </w:p>
        </w:tc>
      </w:tr>
      <w:tr w:rsidR="00706597" w:rsidRPr="00706597" w14:paraId="634C8164" w14:textId="77777777" w:rsidTr="00706597">
        <w:trPr>
          <w:tblCellSpacing w:w="15" w:type="dxa"/>
        </w:trPr>
        <w:tc>
          <w:tcPr>
            <w:tcW w:w="0" w:type="auto"/>
            <w:tcBorders>
              <w:top w:val="dashed" w:sz="6" w:space="0" w:color="BBBBBB"/>
              <w:left w:val="dashed" w:sz="6" w:space="0" w:color="BBBBBB"/>
              <w:bottom w:val="dashed" w:sz="6" w:space="0" w:color="BBBBBB"/>
              <w:right w:val="dashed" w:sz="6" w:space="0" w:color="BBBBBB"/>
            </w:tcBorders>
            <w:shd w:val="clear" w:color="auto" w:fill="EEEEEE"/>
            <w:vAlign w:val="center"/>
            <w:hideMark/>
          </w:tcPr>
          <w:tbl>
            <w:tblPr>
              <w:tblW w:w="10800" w:type="dxa"/>
              <w:tblCellSpacing w:w="15" w:type="dxa"/>
              <w:tblBorders>
                <w:top w:val="dashed" w:sz="6" w:space="0" w:color="BBBBBB"/>
                <w:left w:val="dashed" w:sz="6" w:space="0" w:color="BBBBBB"/>
                <w:bottom w:val="dashed" w:sz="6" w:space="0" w:color="BBBBBB"/>
                <w:right w:val="dashed" w:sz="6" w:space="0" w:color="BBBBBB"/>
              </w:tblBorders>
              <w:tblCellMar>
                <w:top w:w="15" w:type="dxa"/>
                <w:left w:w="15" w:type="dxa"/>
                <w:bottom w:w="15" w:type="dxa"/>
                <w:right w:w="15" w:type="dxa"/>
              </w:tblCellMar>
              <w:tblLook w:val="04A0" w:firstRow="1" w:lastRow="0" w:firstColumn="1" w:lastColumn="0" w:noHBand="0" w:noVBand="1"/>
            </w:tblPr>
            <w:tblGrid>
              <w:gridCol w:w="10800"/>
            </w:tblGrid>
            <w:tr w:rsidR="00706597" w:rsidRPr="00706597" w14:paraId="01CBD1A7" w14:textId="77777777">
              <w:trPr>
                <w:tblCellSpacing w:w="15" w:type="dxa"/>
              </w:trPr>
              <w:tc>
                <w:tcPr>
                  <w:tcW w:w="0" w:type="auto"/>
                  <w:tcBorders>
                    <w:top w:val="dashed" w:sz="6" w:space="0" w:color="BBBBBB"/>
                    <w:left w:val="dashed" w:sz="6" w:space="0" w:color="BBBBBB"/>
                    <w:bottom w:val="dashed" w:sz="6" w:space="0" w:color="BBBBBB"/>
                    <w:right w:val="dashed" w:sz="6" w:space="0" w:color="BBBBBB"/>
                  </w:tcBorders>
                  <w:shd w:val="clear" w:color="auto" w:fill="EEEEEE"/>
                  <w:vAlign w:val="center"/>
                  <w:hideMark/>
                </w:tcPr>
                <w:p w14:paraId="754D6D86"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Subject: Supreme Court cases supporting no license needed to practice law.</w:t>
                  </w:r>
                </w:p>
                <w:p w14:paraId="366FB0CE"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If you ever get attacked for practicing law without a license.</w:t>
                  </w:r>
                </w:p>
                <w:p w14:paraId="75DEA3E0"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Reference Court Cases:</w:t>
                  </w:r>
                </w:p>
                <w:p w14:paraId="7941CECB"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 Picking v. Pennsylvania R. Co. 151 Fed. 2nd 240; </w:t>
                  </w:r>
                  <w:proofErr w:type="spellStart"/>
                  <w:r w:rsidRPr="00706597">
                    <w:rPr>
                      <w:rFonts w:ascii="Verdana" w:eastAsia="Times New Roman" w:hAnsi="Verdana" w:cs="Times New Roman"/>
                      <w:sz w:val="21"/>
                      <w:szCs w:val="21"/>
                    </w:rPr>
                    <w:t>Pucket</w:t>
                  </w:r>
                  <w:proofErr w:type="spellEnd"/>
                  <w:r w:rsidRPr="00706597">
                    <w:rPr>
                      <w:rFonts w:ascii="Verdana" w:eastAsia="Times New Roman" w:hAnsi="Verdana" w:cs="Times New Roman"/>
                      <w:sz w:val="21"/>
                      <w:szCs w:val="21"/>
                    </w:rPr>
                    <w:t xml:space="preserve"> v. Cox 456 2nd 233. Pro se pleadings are to be considered without regard to technicality; pro se </w:t>
                  </w:r>
                  <w:proofErr w:type="gramStart"/>
                  <w:r w:rsidRPr="00706597">
                    <w:rPr>
                      <w:rFonts w:ascii="Verdana" w:eastAsia="Times New Roman" w:hAnsi="Verdana" w:cs="Times New Roman"/>
                      <w:sz w:val="21"/>
                      <w:szCs w:val="21"/>
                    </w:rPr>
                    <w:t>litigants</w:t>
                  </w:r>
                  <w:proofErr w:type="gramEnd"/>
                  <w:r w:rsidRPr="00706597">
                    <w:rPr>
                      <w:rFonts w:ascii="Verdana" w:eastAsia="Times New Roman" w:hAnsi="Verdana" w:cs="Times New Roman"/>
                      <w:sz w:val="21"/>
                      <w:szCs w:val="21"/>
                    </w:rPr>
                    <w:t xml:space="preserve"> pleadings are not to be held to the same high standards of perfection as lawyers.</w:t>
                  </w:r>
                </w:p>
                <w:p w14:paraId="6CA73CDA"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1. </w:t>
                  </w:r>
                  <w:proofErr w:type="spellStart"/>
                  <w:r w:rsidRPr="00706597">
                    <w:rPr>
                      <w:rFonts w:ascii="Verdana" w:eastAsia="Times New Roman" w:hAnsi="Verdana" w:cs="Times New Roman"/>
                      <w:sz w:val="21"/>
                      <w:szCs w:val="21"/>
                    </w:rPr>
                    <w:t>Platsky</w:t>
                  </w:r>
                  <w:proofErr w:type="spellEnd"/>
                  <w:r w:rsidRPr="00706597">
                    <w:rPr>
                      <w:rFonts w:ascii="Verdana" w:eastAsia="Times New Roman" w:hAnsi="Verdana" w:cs="Times New Roman"/>
                      <w:sz w:val="21"/>
                      <w:szCs w:val="21"/>
                    </w:rPr>
                    <w:t xml:space="preserve"> v. C.I.A. 953 F.2d. 25. Additionally, pro se litigants are to be given reasonable opportunity to remedy the defects in their pleadings. </w:t>
                  </w:r>
                  <w:proofErr w:type="spellStart"/>
                  <w:r w:rsidRPr="00706597">
                    <w:rPr>
                      <w:rFonts w:ascii="Verdana" w:eastAsia="Times New Roman" w:hAnsi="Verdana" w:cs="Times New Roman"/>
                      <w:sz w:val="21"/>
                      <w:szCs w:val="21"/>
                    </w:rPr>
                    <w:t>Reynoldson</w:t>
                  </w:r>
                  <w:proofErr w:type="spellEnd"/>
                  <w:r w:rsidRPr="00706597">
                    <w:rPr>
                      <w:rFonts w:ascii="Verdana" w:eastAsia="Times New Roman" w:hAnsi="Verdana" w:cs="Times New Roman"/>
                      <w:sz w:val="21"/>
                      <w:szCs w:val="21"/>
                    </w:rPr>
                    <w:t xml:space="preserve"> v. </w:t>
                  </w:r>
                  <w:proofErr w:type="spellStart"/>
                  <w:r w:rsidRPr="00706597">
                    <w:rPr>
                      <w:rFonts w:ascii="Verdana" w:eastAsia="Times New Roman" w:hAnsi="Verdana" w:cs="Times New Roman"/>
                      <w:sz w:val="21"/>
                      <w:szCs w:val="21"/>
                    </w:rPr>
                    <w:t>Shillinger</w:t>
                  </w:r>
                  <w:proofErr w:type="spellEnd"/>
                  <w:r w:rsidRPr="00706597">
                    <w:rPr>
                      <w:rFonts w:ascii="Verdana" w:eastAsia="Times New Roman" w:hAnsi="Verdana" w:cs="Times New Roman"/>
                      <w:sz w:val="21"/>
                      <w:szCs w:val="21"/>
                    </w:rPr>
                    <w:t xml:space="preserve"> 907F .2d 124, 126 (10th Cir. 1990); See also Jaxon v. Circle K. Corp. 773 F.2d 1138, 1140 (10th Cir. 1985) (1)</w:t>
                  </w:r>
                </w:p>
                <w:p w14:paraId="66D661D1"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2. Haines v. Kerner (92 </w:t>
                  </w:r>
                  <w:proofErr w:type="spellStart"/>
                  <w:r w:rsidRPr="00706597">
                    <w:rPr>
                      <w:rFonts w:ascii="Verdana" w:eastAsia="Times New Roman" w:hAnsi="Verdana" w:cs="Times New Roman"/>
                      <w:sz w:val="21"/>
                      <w:szCs w:val="21"/>
                    </w:rPr>
                    <w:t>S.Ct</w:t>
                  </w:r>
                  <w:proofErr w:type="spellEnd"/>
                  <w:r w:rsidRPr="00706597">
                    <w:rPr>
                      <w:rFonts w:ascii="Verdana" w:eastAsia="Times New Roman" w:hAnsi="Verdana" w:cs="Times New Roman"/>
                      <w:sz w:val="21"/>
                      <w:szCs w:val="21"/>
                    </w:rPr>
                    <w:t>. 594). The respondent in this action is a nonlawyer and is moving forward in Propria persona.</w:t>
                  </w:r>
                </w:p>
                <w:p w14:paraId="49737B0C"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3. NAACP v. Button (371 U.S. 415); United Mineworkers of America v. Gibbs (383 U.S. 715); and Johnson v. Avery 89 S. Ct. 747 (1969). Members of groups who are competent nonlawyers can assist other members of the group achieve the goals of the group in court without being charged with "Unauthorized practice of law."</w:t>
                  </w:r>
                </w:p>
                <w:p w14:paraId="6E445951"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4. Brotherhood of Trainmen v. Virginia ex rel. Virginia State Bar (377 U.S. 1); Gideon v. Wainwright 372 U.S. 335; Argersinger v. Hamlin, Sheriff 407 U.S. 425. Litigants may be assisted by unlicensed layman during judicial proceedings.</w:t>
                  </w:r>
                </w:p>
                <w:p w14:paraId="4F237016"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5. Howlett v. Rose, 496 U.S. 356 (1990) Federal Law and Supreme Court Cases apply to State Court Cases</w:t>
                  </w:r>
                </w:p>
                <w:p w14:paraId="1D8FD8FB"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6. Federal Rules Civil Proc., Rule 17, 28 U.S.C.A. "Next Friend" A next friend is a person who represents someone who is unable to tend to his or her own interest...</w:t>
                  </w:r>
                </w:p>
                <w:p w14:paraId="3283D89F"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7. Oklahoma Court Rules and Procedures, Title 12, sec. 2017 (C) "If an infant or incompetent person does not have a duly appointed representative he may sue by his next friend or by </w:t>
                  </w:r>
                  <w:proofErr w:type="gramStart"/>
                  <w:r w:rsidRPr="00706597">
                    <w:rPr>
                      <w:rFonts w:ascii="Verdana" w:eastAsia="Times New Roman" w:hAnsi="Verdana" w:cs="Times New Roman"/>
                      <w:sz w:val="21"/>
                      <w:szCs w:val="21"/>
                    </w:rPr>
                    <w:t>a guardian ad litem</w:t>
                  </w:r>
                  <w:proofErr w:type="gramEnd"/>
                  <w:r w:rsidRPr="00706597">
                    <w:rPr>
                      <w:rFonts w:ascii="Verdana" w:eastAsia="Times New Roman" w:hAnsi="Verdana" w:cs="Times New Roman"/>
                      <w:sz w:val="21"/>
                      <w:szCs w:val="21"/>
                    </w:rPr>
                    <w:t>."</w:t>
                  </w:r>
                </w:p>
                <w:p w14:paraId="071A1186"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8. </w:t>
                  </w:r>
                  <w:proofErr w:type="spellStart"/>
                  <w:r w:rsidRPr="00706597">
                    <w:rPr>
                      <w:rFonts w:ascii="Verdana" w:eastAsia="Times New Roman" w:hAnsi="Verdana" w:cs="Times New Roman"/>
                      <w:sz w:val="21"/>
                      <w:szCs w:val="21"/>
                    </w:rPr>
                    <w:t>Mandonado</w:t>
                  </w:r>
                  <w:proofErr w:type="spellEnd"/>
                  <w:r w:rsidRPr="00706597">
                    <w:rPr>
                      <w:rFonts w:ascii="Verdana" w:eastAsia="Times New Roman" w:hAnsi="Verdana" w:cs="Times New Roman"/>
                      <w:sz w:val="21"/>
                      <w:szCs w:val="21"/>
                    </w:rPr>
                    <w:t>-Denis v. Castillo-Rodriguez, 23 F.3d 576 (1st Cir. 1994) Inadequate training of subordinates may be basis for 1983 claim.</w:t>
                  </w:r>
                </w:p>
                <w:p w14:paraId="0E1EF948"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9. Warnock v. Pecos County, Tex., 88 F3d 341 (5th Cir. 1996) Eleventh Amendment does not protect state officials from claims for prospective relief when it is alleged that state officials acted in violation of federal law.</w:t>
                  </w:r>
                </w:p>
                <w:p w14:paraId="554DEA17"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lastRenderedPageBreak/>
                    <w:t xml:space="preserve">10. Title 42 U.S.C. Sec. 1983, Wood v. </w:t>
                  </w:r>
                  <w:proofErr w:type="spellStart"/>
                  <w:r w:rsidRPr="00706597">
                    <w:rPr>
                      <w:rFonts w:ascii="Verdana" w:eastAsia="Times New Roman" w:hAnsi="Verdana" w:cs="Times New Roman"/>
                      <w:sz w:val="21"/>
                      <w:szCs w:val="21"/>
                    </w:rPr>
                    <w:t>Breier</w:t>
                  </w:r>
                  <w:proofErr w:type="spellEnd"/>
                  <w:r w:rsidRPr="00706597">
                    <w:rPr>
                      <w:rFonts w:ascii="Verdana" w:eastAsia="Times New Roman" w:hAnsi="Verdana" w:cs="Times New Roman"/>
                      <w:sz w:val="21"/>
                      <w:szCs w:val="21"/>
                    </w:rPr>
                    <w:t xml:space="preserve">, 54 F.R.D. 7, 10-11 (E.D. Wis. 1972). </w:t>
                  </w:r>
                  <w:proofErr w:type="spellStart"/>
                  <w:r w:rsidRPr="00706597">
                    <w:rPr>
                      <w:rFonts w:ascii="Verdana" w:eastAsia="Times New Roman" w:hAnsi="Verdana" w:cs="Times New Roman"/>
                      <w:sz w:val="21"/>
                      <w:szCs w:val="21"/>
                    </w:rPr>
                    <w:t>Frankenhauser</w:t>
                  </w:r>
                  <w:proofErr w:type="spellEnd"/>
                  <w:r w:rsidRPr="00706597">
                    <w:rPr>
                      <w:rFonts w:ascii="Verdana" w:eastAsia="Times New Roman" w:hAnsi="Verdana" w:cs="Times New Roman"/>
                      <w:sz w:val="21"/>
                      <w:szCs w:val="21"/>
                    </w:rPr>
                    <w:t xml:space="preserve"> v. Rizzo, 59 F.R.D. 339 (E.D. Pa. 1973). "Each citizen acts as a private attorney general who 'takes on the mantel of sovereign',"</w:t>
                  </w:r>
                </w:p>
                <w:p w14:paraId="291A5145"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11. Oklahoma is a "Right to Work" State! Bill SJR1! </w:t>
                  </w:r>
                  <w:proofErr w:type="spellStart"/>
                  <w:r w:rsidRPr="00706597">
                    <w:rPr>
                      <w:rFonts w:ascii="Verdana" w:eastAsia="Times New Roman" w:hAnsi="Verdana" w:cs="Times New Roman"/>
                      <w:sz w:val="21"/>
                      <w:szCs w:val="21"/>
                    </w:rPr>
                    <w:t>Its</w:t>
                  </w:r>
                  <w:proofErr w:type="spellEnd"/>
                  <w:r w:rsidRPr="00706597">
                    <w:rPr>
                      <w:rFonts w:ascii="Verdana" w:eastAsia="Times New Roman" w:hAnsi="Verdana" w:cs="Times New Roman"/>
                      <w:sz w:val="21"/>
                      <w:szCs w:val="21"/>
                    </w:rPr>
                    <w:t xml:space="preserve"> OK to practice God`s law </w:t>
                  </w:r>
                  <w:proofErr w:type="spellStart"/>
                  <w:r w:rsidRPr="00706597">
                    <w:rPr>
                      <w:rFonts w:ascii="Verdana" w:eastAsia="Times New Roman" w:hAnsi="Verdana" w:cs="Times New Roman"/>
                      <w:sz w:val="21"/>
                      <w:szCs w:val="21"/>
                    </w:rPr>
                    <w:t>with out</w:t>
                  </w:r>
                  <w:proofErr w:type="spellEnd"/>
                  <w:r w:rsidRPr="00706597">
                    <w:rPr>
                      <w:rFonts w:ascii="Verdana" w:eastAsia="Times New Roman" w:hAnsi="Verdana" w:cs="Times New Roman"/>
                      <w:sz w:val="21"/>
                      <w:szCs w:val="21"/>
                    </w:rPr>
                    <w:t xml:space="preserve"> a license, Luke 11:52, God`s Law was here first! "There is a higher loyalty than loyalty to this country, loyalty to God" U.S. v. Seeger, 380 U.S. 163, 172, 85 S. Ct. 850, 13 L. Ed. 2d 733 (1965)</w:t>
                  </w:r>
                </w:p>
                <w:p w14:paraId="71AC8088" w14:textId="77777777" w:rsidR="00706597" w:rsidRPr="00706597" w:rsidRDefault="00706597" w:rsidP="00706597">
                  <w:pPr>
                    <w:spacing w:after="150" w:line="240" w:lineRule="auto"/>
                    <w:rPr>
                      <w:rFonts w:ascii="Verdana" w:eastAsia="Times New Roman" w:hAnsi="Verdana" w:cs="Times New Roman"/>
                      <w:sz w:val="21"/>
                      <w:szCs w:val="21"/>
                    </w:rPr>
                  </w:pPr>
                  <w:r w:rsidRPr="00706597">
                    <w:rPr>
                      <w:rFonts w:ascii="Verdana" w:eastAsia="Times New Roman" w:hAnsi="Verdana" w:cs="Times New Roman"/>
                      <w:sz w:val="21"/>
                      <w:szCs w:val="21"/>
                    </w:rPr>
                    <w:t xml:space="preserve">12. "The practice of law </w:t>
                  </w:r>
                  <w:proofErr w:type="spellStart"/>
                  <w:r w:rsidRPr="00706597">
                    <w:rPr>
                      <w:rFonts w:ascii="Verdana" w:eastAsia="Times New Roman" w:hAnsi="Verdana" w:cs="Times New Roman"/>
                      <w:sz w:val="21"/>
                      <w:szCs w:val="21"/>
                    </w:rPr>
                    <w:t>can not</w:t>
                  </w:r>
                  <w:proofErr w:type="spellEnd"/>
                  <w:r w:rsidRPr="00706597">
                    <w:rPr>
                      <w:rFonts w:ascii="Verdana" w:eastAsia="Times New Roman" w:hAnsi="Verdana" w:cs="Times New Roman"/>
                      <w:sz w:val="21"/>
                      <w:szCs w:val="21"/>
                    </w:rPr>
                    <w:t xml:space="preserve"> be licensed by any state/State. </w:t>
                  </w:r>
                  <w:proofErr w:type="spellStart"/>
                  <w:r w:rsidRPr="00706597">
                    <w:rPr>
                      <w:rFonts w:ascii="Verdana" w:eastAsia="Times New Roman" w:hAnsi="Verdana" w:cs="Times New Roman"/>
                      <w:sz w:val="21"/>
                      <w:szCs w:val="21"/>
                    </w:rPr>
                    <w:t>Schware</w:t>
                  </w:r>
                  <w:proofErr w:type="spellEnd"/>
                  <w:r w:rsidRPr="00706597">
                    <w:rPr>
                      <w:rFonts w:ascii="Verdana" w:eastAsia="Times New Roman" w:hAnsi="Verdana" w:cs="Times New Roman"/>
                      <w:sz w:val="21"/>
                      <w:szCs w:val="21"/>
                    </w:rPr>
                    <w:t xml:space="preserve"> v. Board of Examiners, United States Reports 353 U.S. pgs. 238, 239. In Sims v. Aherns, 271 S.W. 720 (1925) "The practice of law is an occupation of common right." A bar card is not a license, </w:t>
                  </w:r>
                  <w:proofErr w:type="spellStart"/>
                  <w:proofErr w:type="gramStart"/>
                  <w:r w:rsidRPr="00706597">
                    <w:rPr>
                      <w:rFonts w:ascii="Verdana" w:eastAsia="Times New Roman" w:hAnsi="Verdana" w:cs="Times New Roman"/>
                      <w:sz w:val="21"/>
                      <w:szCs w:val="21"/>
                    </w:rPr>
                    <w:t>its</w:t>
                  </w:r>
                  <w:proofErr w:type="spellEnd"/>
                  <w:r w:rsidRPr="00706597">
                    <w:rPr>
                      <w:rFonts w:ascii="Verdana" w:eastAsia="Times New Roman" w:hAnsi="Verdana" w:cs="Times New Roman"/>
                      <w:sz w:val="21"/>
                      <w:szCs w:val="21"/>
                    </w:rPr>
                    <w:t xml:space="preserve"> a</w:t>
                  </w:r>
                  <w:proofErr w:type="gramEnd"/>
                  <w:r w:rsidRPr="00706597">
                    <w:rPr>
                      <w:rFonts w:ascii="Verdana" w:eastAsia="Times New Roman" w:hAnsi="Verdana" w:cs="Times New Roman"/>
                      <w:sz w:val="21"/>
                      <w:szCs w:val="21"/>
                    </w:rPr>
                    <w:t xml:space="preserve"> dues card and/or membership card. A bar association is that what it is, a club, </w:t>
                  </w:r>
                  <w:proofErr w:type="spellStart"/>
                  <w:r w:rsidRPr="00706597">
                    <w:rPr>
                      <w:rFonts w:ascii="Verdana" w:eastAsia="Times New Roman" w:hAnsi="Verdana" w:cs="Times New Roman"/>
                      <w:sz w:val="21"/>
                      <w:szCs w:val="21"/>
                    </w:rPr>
                    <w:t>A</w:t>
                  </w:r>
                  <w:proofErr w:type="spellEnd"/>
                  <w:r w:rsidRPr="00706597">
                    <w:rPr>
                      <w:rFonts w:ascii="Verdana" w:eastAsia="Times New Roman" w:hAnsi="Verdana" w:cs="Times New Roman"/>
                      <w:sz w:val="21"/>
                      <w:szCs w:val="21"/>
                    </w:rPr>
                    <w:t xml:space="preserve"> association is not license, it has a certificate though the State, the two are not the same....</w:t>
                  </w:r>
                </w:p>
              </w:tc>
            </w:tr>
          </w:tbl>
          <w:p w14:paraId="0336AB0B" w14:textId="77777777" w:rsidR="00706597" w:rsidRPr="00706597" w:rsidRDefault="00706597" w:rsidP="00706597">
            <w:pPr>
              <w:spacing w:after="0" w:line="240" w:lineRule="auto"/>
              <w:rPr>
                <w:rFonts w:ascii="Verdana" w:eastAsia="Times New Roman" w:hAnsi="Verdana" w:cs="Times New Roman"/>
                <w:color w:val="000000"/>
                <w:sz w:val="21"/>
                <w:szCs w:val="21"/>
              </w:rPr>
            </w:pPr>
          </w:p>
        </w:tc>
      </w:tr>
    </w:tbl>
    <w:p w14:paraId="0061E4D9" w14:textId="77777777" w:rsidR="00706597" w:rsidRDefault="00706597"/>
    <w:sectPr w:rsidR="007065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597"/>
    <w:rsid w:val="00562C78"/>
    <w:rsid w:val="006B5BCF"/>
    <w:rsid w:val="00706597"/>
    <w:rsid w:val="00835726"/>
    <w:rsid w:val="00C7518B"/>
    <w:rsid w:val="00DF5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F52F"/>
  <w15:chartTrackingRefBased/>
  <w15:docId w15:val="{556CFFF8-7CBB-4D9E-AD50-739B3D466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83842">
      <w:bodyDiv w:val="1"/>
      <w:marLeft w:val="0"/>
      <w:marRight w:val="0"/>
      <w:marTop w:val="0"/>
      <w:marBottom w:val="0"/>
      <w:divBdr>
        <w:top w:val="none" w:sz="0" w:space="0" w:color="auto"/>
        <w:left w:val="none" w:sz="0" w:space="0" w:color="auto"/>
        <w:bottom w:val="none" w:sz="0" w:space="0" w:color="auto"/>
        <w:right w:val="none" w:sz="0" w:space="0" w:color="auto"/>
      </w:divBdr>
    </w:div>
    <w:div w:id="66926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2021-06-08T20:28:00Z</dcterms:created>
  <dcterms:modified xsi:type="dcterms:W3CDTF">2021-06-08T20:28:00Z</dcterms:modified>
</cp:coreProperties>
</file>