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245" w:type="dxa"/>
        <w:jc w:val="center"/>
        <w:tblCellSpacing w:w="22" w:type="dxa"/>
        <w:shd w:val="clear" w:color="auto" w:fill="FFFFFF"/>
        <w:tblCellMar>
          <w:top w:w="45" w:type="dxa"/>
          <w:left w:w="45" w:type="dxa"/>
          <w:bottom w:w="45" w:type="dxa"/>
          <w:right w:w="45" w:type="dxa"/>
        </w:tblCellMar>
        <w:tblLook w:val="04A0" w:firstRow="1" w:lastRow="0" w:firstColumn="1" w:lastColumn="0" w:noHBand="0" w:noVBand="1"/>
      </w:tblPr>
      <w:tblGrid>
        <w:gridCol w:w="13245"/>
      </w:tblGrid>
      <w:tr w:rsidR="00ED4D25" w:rsidRPr="00ED4D25" w14:paraId="369C5346" w14:textId="77777777" w:rsidTr="00ED4D25">
        <w:trPr>
          <w:tblCellSpacing w:w="22" w:type="dxa"/>
          <w:jc w:val="center"/>
        </w:trPr>
        <w:tc>
          <w:tcPr>
            <w:tcW w:w="0" w:type="auto"/>
            <w:shd w:val="clear" w:color="auto" w:fill="FFFFFF"/>
            <w:vAlign w:val="center"/>
            <w:hideMark/>
          </w:tcPr>
          <w:p w14:paraId="0D3147CE" w14:textId="355EEEE5" w:rsidR="00ED4D25" w:rsidRPr="00ED4D25" w:rsidRDefault="00ED4D25" w:rsidP="00ED4D25">
            <w:pPr>
              <w:spacing w:before="100" w:beforeAutospacing="1" w:after="100" w:afterAutospacing="1" w:line="240" w:lineRule="auto"/>
              <w:jc w:val="center"/>
              <w:outlineLvl w:val="0"/>
              <w:rPr>
                <w:rFonts w:ascii="Arial" w:eastAsia="Times New Roman" w:hAnsi="Arial" w:cs="Arial"/>
                <w:b/>
                <w:bCs/>
                <w:color w:val="222222"/>
                <w:kern w:val="36"/>
                <w:sz w:val="48"/>
                <w:szCs w:val="48"/>
              </w:rPr>
            </w:pPr>
            <w:r>
              <w:rPr>
                <w:rFonts w:ascii="Arial" w:eastAsia="Times New Roman" w:hAnsi="Arial" w:cs="Arial"/>
                <w:b/>
                <w:bCs/>
                <w:color w:val="222222"/>
                <w:kern w:val="36"/>
                <w:sz w:val="48"/>
                <w:szCs w:val="48"/>
              </w:rPr>
              <w:t>R</w:t>
            </w:r>
            <w:r w:rsidRPr="00ED4D25">
              <w:rPr>
                <w:rFonts w:ascii="Arial" w:eastAsia="Times New Roman" w:hAnsi="Arial" w:cs="Arial"/>
                <w:b/>
                <w:bCs/>
                <w:color w:val="222222"/>
                <w:kern w:val="36"/>
                <w:sz w:val="48"/>
                <w:szCs w:val="48"/>
              </w:rPr>
              <w:t>ight of Defense Against Unlawful Arrest</w:t>
            </w:r>
          </w:p>
        </w:tc>
      </w:tr>
      <w:tr w:rsidR="00ED4D25" w:rsidRPr="00ED4D25" w14:paraId="1D527357" w14:textId="77777777" w:rsidTr="00ED4D25">
        <w:trPr>
          <w:tblCellSpacing w:w="22" w:type="dxa"/>
          <w:jc w:val="center"/>
        </w:trPr>
        <w:tc>
          <w:tcPr>
            <w:tcW w:w="0" w:type="auto"/>
            <w:shd w:val="clear" w:color="auto" w:fill="FFFFFF"/>
            <w:vAlign w:val="center"/>
            <w:hideMark/>
          </w:tcPr>
          <w:p w14:paraId="26336911" w14:textId="77777777" w:rsidR="00ED4D25" w:rsidRPr="00ED4D25" w:rsidRDefault="00ED4D25" w:rsidP="00ED4D25">
            <w:pPr>
              <w:spacing w:after="0" w:line="240" w:lineRule="auto"/>
              <w:rPr>
                <w:rFonts w:ascii="Helvetica" w:eastAsia="Times New Roman" w:hAnsi="Helvetica" w:cs="Helvetica"/>
                <w:color w:val="222222"/>
                <w:sz w:val="18"/>
                <w:szCs w:val="18"/>
              </w:rPr>
            </w:pPr>
            <w:r w:rsidRPr="00ED4D25">
              <w:rPr>
                <w:rFonts w:ascii="Helvetica" w:eastAsia="Times New Roman" w:hAnsi="Helvetica" w:cs="Helvetica"/>
                <w:color w:val="222222"/>
                <w:sz w:val="18"/>
                <w:szCs w:val="18"/>
              </w:rPr>
              <w:t> </w:t>
            </w:r>
          </w:p>
        </w:tc>
      </w:tr>
      <w:tr w:rsidR="00ED4D25" w:rsidRPr="00ED4D25" w14:paraId="18EC7B3E" w14:textId="77777777" w:rsidTr="00ED4D25">
        <w:trPr>
          <w:tblCellSpacing w:w="22" w:type="dxa"/>
          <w:jc w:val="center"/>
        </w:trPr>
        <w:tc>
          <w:tcPr>
            <w:tcW w:w="0" w:type="auto"/>
            <w:shd w:val="clear" w:color="auto" w:fill="FFFFFF"/>
            <w:vAlign w:val="center"/>
            <w:hideMark/>
          </w:tcPr>
          <w:tbl>
            <w:tblPr>
              <w:tblW w:w="10800" w:type="dxa"/>
              <w:jc w:val="center"/>
              <w:tblCellSpacing w:w="0" w:type="dxa"/>
              <w:tblCellMar>
                <w:left w:w="0" w:type="dxa"/>
                <w:right w:w="0" w:type="dxa"/>
              </w:tblCellMar>
              <w:tblLook w:val="04A0" w:firstRow="1" w:lastRow="0" w:firstColumn="1" w:lastColumn="0" w:noHBand="0" w:noVBand="1"/>
              <w:tblDescription w:val=""/>
            </w:tblPr>
            <w:tblGrid>
              <w:gridCol w:w="10800"/>
            </w:tblGrid>
            <w:tr w:rsidR="00ED4D25" w:rsidRPr="00ED4D25" w14:paraId="18B72B9E" w14:textId="77777777">
              <w:trPr>
                <w:tblCellSpacing w:w="0" w:type="dxa"/>
                <w:jc w:val="center"/>
              </w:trPr>
              <w:tc>
                <w:tcPr>
                  <w:tcW w:w="0" w:type="auto"/>
                  <w:vAlign w:val="center"/>
                  <w:hideMark/>
                </w:tcPr>
                <w:p w14:paraId="7F1F92FD" w14:textId="3D7E2BE8" w:rsidR="00ED4D25" w:rsidRPr="00ED4D25" w:rsidRDefault="00ED4D25" w:rsidP="00ED4D25">
                  <w:pPr>
                    <w:spacing w:before="100" w:beforeAutospacing="1" w:after="100" w:afterAutospacing="1" w:line="240" w:lineRule="auto"/>
                    <w:outlineLvl w:val="1"/>
                    <w:rPr>
                      <w:rFonts w:ascii="Helvetica" w:eastAsia="Times New Roman" w:hAnsi="Helvetica" w:cs="Helvetica"/>
                      <w:b/>
                      <w:bCs/>
                      <w:sz w:val="36"/>
                      <w:szCs w:val="36"/>
                    </w:rPr>
                  </w:pPr>
                  <w:r>
                    <w:rPr>
                      <w:rFonts w:ascii="Helvetica" w:eastAsia="Times New Roman" w:hAnsi="Helvetica" w:cs="Helvetica"/>
                      <w:b/>
                      <w:bCs/>
                      <w:sz w:val="36"/>
                      <w:szCs w:val="36"/>
                    </w:rPr>
                    <w:t xml:space="preserve">                        </w:t>
                  </w:r>
                  <w:r w:rsidRPr="00ED4D25">
                    <w:rPr>
                      <w:rFonts w:ascii="Helvetica" w:eastAsia="Times New Roman" w:hAnsi="Helvetica" w:cs="Helvetica"/>
                      <w:b/>
                      <w:bCs/>
                      <w:sz w:val="36"/>
                      <w:szCs w:val="36"/>
                    </w:rPr>
                    <w:t>LAWFUL CONSTRUCTIVE NOTICE</w:t>
                  </w:r>
                </w:p>
                <w:p w14:paraId="7956F190"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"Citizens may resist unlawful arrest to the point of taking an arresting officer's life if necessary." Plummer v. State, 136 Ind. 306. This premise was upheld by the Supreme Court of the United States in the case: John Bad Elk v. U.S., 177 U.S. 529. The Court stated:</w:t>
                  </w:r>
                </w:p>
                <w:p w14:paraId="177E12AF" w14:textId="77777777" w:rsidR="00ED4D25" w:rsidRPr="00ED4D25" w:rsidRDefault="00ED4D25" w:rsidP="00ED4D25">
                  <w:pPr>
                    <w:spacing w:after="100" w:line="240" w:lineRule="auto"/>
                    <w:rPr>
                      <w:rFonts w:ascii="Arial" w:eastAsia="Times New Roman" w:hAnsi="Arial" w:cs="Arial"/>
                      <w:sz w:val="24"/>
                      <w:szCs w:val="24"/>
                    </w:rPr>
                  </w:pPr>
                  <w:r w:rsidRPr="00ED4D25">
                    <w:rPr>
                      <w:rFonts w:ascii="Arial" w:eastAsia="Times New Roman" w:hAnsi="Arial" w:cs="Arial"/>
                      <w:sz w:val="24"/>
                      <w:szCs w:val="24"/>
                    </w:rPr>
                    <w:t>"Where the officer is killed in the course of the disorder which naturally accompanies an attempted arrest that is resisted, the law looks with very different eyes upon the transaction, when the officer had the right to make the arrest, from what it does if the officer had no right. What may be murder in the first case might be nothing more than manslaughter in the other, or the facts might show that no offense had been committed."</w:t>
                  </w:r>
                </w:p>
                <w:p w14:paraId="5A9F704E"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 xml:space="preserve">"An arrest made with a defective warrant, or one issued without affidavit, or one that fails to allege a crime is within jurisdiction, and one who is being arrested, may resist arrest and break away. if the arresting officer is killed by one who is so resisting, the killing will be no more than an involuntary manslaughter." </w:t>
                  </w:r>
                  <w:proofErr w:type="spellStart"/>
                  <w:r w:rsidRPr="00ED4D25">
                    <w:rPr>
                      <w:rFonts w:ascii="Arial" w:eastAsia="Times New Roman" w:hAnsi="Arial" w:cs="Arial"/>
                      <w:sz w:val="24"/>
                      <w:szCs w:val="24"/>
                    </w:rPr>
                    <w:t>Housh</w:t>
                  </w:r>
                  <w:proofErr w:type="spellEnd"/>
                  <w:r w:rsidRPr="00ED4D25">
                    <w:rPr>
                      <w:rFonts w:ascii="Arial" w:eastAsia="Times New Roman" w:hAnsi="Arial" w:cs="Arial"/>
                      <w:sz w:val="24"/>
                      <w:szCs w:val="24"/>
                    </w:rPr>
                    <w:t xml:space="preserve"> v. People, 75 111. 491; reaffirmed and quoted in State v. Leach, 7 Conn. 452; State v. Gleason, 32 Kan. 245; Ballard v. State, 43 Ohio 349; State v Rousseau, 241 P. 2d 447; State v. Spaulding, 34 Minn. 3621.</w:t>
                  </w:r>
                </w:p>
                <w:p w14:paraId="31A44B09" w14:textId="10EB3110"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 xml:space="preserve">"When a person, being without fault, is in a place where he has a right to be, is violently assaulted, he may, without retreating, repel by force, and if, in the reasonable exercise of his right of </w:t>
                  </w:r>
                  <w:r w:rsidRPr="00ED4D25">
                    <w:rPr>
                      <w:rFonts w:ascii="Arial" w:eastAsia="Times New Roman" w:hAnsi="Arial" w:cs="Arial"/>
                      <w:sz w:val="24"/>
                      <w:szCs w:val="24"/>
                    </w:rPr>
                    <w:t>self-defense</w:t>
                  </w:r>
                  <w:r w:rsidRPr="00ED4D25">
                    <w:rPr>
                      <w:rFonts w:ascii="Arial" w:eastAsia="Times New Roman" w:hAnsi="Arial" w:cs="Arial"/>
                      <w:sz w:val="24"/>
                      <w:szCs w:val="24"/>
                    </w:rPr>
                    <w:t>, his assailant is killed, he is justified." Runyan v. State, 57 Ind. 80; Miller v. State, 74 Ind. 1.</w:t>
                  </w:r>
                </w:p>
                <w:p w14:paraId="06DF64ED"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 xml:space="preserve">"These principles apply as well to an officer attempting to make an arrest, who abuses his authority and transcends the bounds thereof by the use of unnecessary force and violence, as they do to a private individual who unlawfully uses such force and violence." Jones v. State, 26 Tex. App. I; </w:t>
                  </w:r>
                  <w:proofErr w:type="spellStart"/>
                  <w:r w:rsidRPr="00ED4D25">
                    <w:rPr>
                      <w:rFonts w:ascii="Arial" w:eastAsia="Times New Roman" w:hAnsi="Arial" w:cs="Arial"/>
                      <w:sz w:val="24"/>
                      <w:szCs w:val="24"/>
                    </w:rPr>
                    <w:t>Beaverts</w:t>
                  </w:r>
                  <w:proofErr w:type="spellEnd"/>
                  <w:r w:rsidRPr="00ED4D25">
                    <w:rPr>
                      <w:rFonts w:ascii="Arial" w:eastAsia="Times New Roman" w:hAnsi="Arial" w:cs="Arial"/>
                      <w:sz w:val="24"/>
                      <w:szCs w:val="24"/>
                    </w:rPr>
                    <w:t xml:space="preserve"> v. State, 4 Tex. App. 1 75; Skidmore v. State, 43 Tex. 93, 903.</w:t>
                  </w:r>
                </w:p>
                <w:p w14:paraId="432F849B"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"An illegal arrest is an assault and battery. The person so attempted to be restrained of his liberty has the same right to use force in defending himself as he would in repelling any other assault and battery." State v. Robinson, 145 ME. 77, 72 ATL. 260</w:t>
                  </w:r>
                </w:p>
                <w:p w14:paraId="10FF041B"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"Each person has the right to resist an unlawful arrest. In such a case, the person attempting the arrest stands in the position of a wrongdoer and may be resisted by the use of force, as in self- defense." State v. Mobley, 240 N.C. 476, 83 S.E. 2d 100</w:t>
                  </w:r>
                </w:p>
                <w:p w14:paraId="224D3276" w14:textId="7FD56D70"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 xml:space="preserve">"One may come to the aid of another being unlawfully arrested, just as he may where one is being assaulted, molested, raped or kidnapped. </w:t>
                  </w:r>
                  <w:r w:rsidRPr="00ED4D25">
                    <w:rPr>
                      <w:rFonts w:ascii="Arial" w:eastAsia="Times New Roman" w:hAnsi="Arial" w:cs="Arial"/>
                      <w:sz w:val="24"/>
                      <w:szCs w:val="24"/>
                    </w:rPr>
                    <w:t>Thus,</w:t>
                  </w:r>
                  <w:r w:rsidRPr="00ED4D25">
                    <w:rPr>
                      <w:rFonts w:ascii="Arial" w:eastAsia="Times New Roman" w:hAnsi="Arial" w:cs="Arial"/>
                      <w:sz w:val="24"/>
                      <w:szCs w:val="24"/>
                    </w:rPr>
                    <w:t xml:space="preserve"> it is not an offense to liberate one from the unlawful custody of an officer, even though he may have submitted to such custody, without resistance." (Adams v. State, 121 Ga. 16, 48 S.E. 910).</w:t>
                  </w:r>
                </w:p>
                <w:p w14:paraId="0695AA9E" w14:textId="18D24FFB"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lastRenderedPageBreak/>
                    <w:t xml:space="preserve">"Story affirmed the right of self-defense by persons held illegally. In his own writings, he had admitted that 'a situation could arise in which the checks-and-balances principle ceased to </w:t>
                  </w:r>
                  <w:r w:rsidRPr="00ED4D25">
                    <w:rPr>
                      <w:rFonts w:ascii="Arial" w:eastAsia="Times New Roman" w:hAnsi="Arial" w:cs="Arial"/>
                      <w:sz w:val="24"/>
                      <w:szCs w:val="24"/>
                    </w:rPr>
                    <w:t>work,</w:t>
                  </w:r>
                  <w:r w:rsidRPr="00ED4D25">
                    <w:rPr>
                      <w:rFonts w:ascii="Arial" w:eastAsia="Times New Roman" w:hAnsi="Arial" w:cs="Arial"/>
                      <w:sz w:val="24"/>
                      <w:szCs w:val="24"/>
                    </w:rPr>
                    <w:t xml:space="preserve"> and the various branches of government concurred in a gross usurpation.' There would be no usual remedy by changing the law or passing an amendment to the Constitution, should the oppressed party be a minority. Story concluded, 'If there be any remedy at all ... it is a remedy never provided for by human institutions.' That was the `ultimate right of all human beings in extreme cases to resist oppression, and to apply force against ruinous injustice.'" From </w:t>
                  </w:r>
                  <w:r w:rsidRPr="00ED4D25">
                    <w:rPr>
                      <w:rFonts w:ascii="Arial" w:eastAsia="Times New Roman" w:hAnsi="Arial" w:cs="Arial"/>
                      <w:b/>
                      <w:bCs/>
                      <w:sz w:val="24"/>
                      <w:szCs w:val="24"/>
                    </w:rPr>
                    <w:t>Mutiny on the Amistad</w:t>
                  </w:r>
                  <w:r w:rsidRPr="00ED4D25">
                    <w:rPr>
                      <w:rFonts w:ascii="Arial" w:eastAsia="Times New Roman" w:hAnsi="Arial" w:cs="Arial"/>
                      <w:sz w:val="24"/>
                      <w:szCs w:val="24"/>
                    </w:rPr>
                    <w:t> by Howard Jones, Oxford University Press, 1987, an account of the reading of the decision in the case by Justice Joseph Story of the Supreme Court.</w:t>
                  </w:r>
                </w:p>
                <w:p w14:paraId="36BF2965" w14:textId="77777777"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As for grounds for arrest: "The carrying of arms in a quiet, peaceable, and orderly manner, concealed on or about the person, is not a breach of the peace. Nor does such an act of itself, lead to a breach of the peace." Wharton's Criminal and Civil Procedure, 12th Ed., Vol.2: Judy v. Lashley, 5 W. Va. 628, 41 S.E. 197</w:t>
                  </w:r>
                </w:p>
                <w:p w14:paraId="5EA3D1CB" w14:textId="77777777" w:rsidR="00ED4D25" w:rsidRPr="00ED4D25" w:rsidRDefault="00ED4D25" w:rsidP="00ED4D25">
                  <w:pPr>
                    <w:spacing w:before="100" w:beforeAutospacing="1" w:after="100" w:afterAutospacing="1" w:line="240" w:lineRule="auto"/>
                    <w:outlineLvl w:val="1"/>
                    <w:rPr>
                      <w:rFonts w:ascii="Arial" w:eastAsia="Times New Roman" w:hAnsi="Arial" w:cs="Arial"/>
                      <w:b/>
                      <w:bCs/>
                      <w:sz w:val="36"/>
                      <w:szCs w:val="36"/>
                    </w:rPr>
                  </w:pPr>
                  <w:r w:rsidRPr="00ED4D25">
                    <w:rPr>
                      <w:rFonts w:ascii="Arial" w:eastAsia="Times New Roman" w:hAnsi="Arial" w:cs="Arial"/>
                      <w:b/>
                      <w:bCs/>
                      <w:sz w:val="36"/>
                      <w:szCs w:val="36"/>
                    </w:rPr>
                    <w:t>The Belligerent Claimant</w:t>
                  </w:r>
                </w:p>
                <w:p w14:paraId="4DB44B3C" w14:textId="799A9038" w:rsidR="00ED4D25" w:rsidRPr="00ED4D25" w:rsidRDefault="00ED4D25" w:rsidP="00ED4D25">
                  <w:pPr>
                    <w:spacing w:before="100" w:beforeAutospacing="1" w:after="100" w:afterAutospacing="1" w:line="240" w:lineRule="auto"/>
                    <w:rPr>
                      <w:rFonts w:ascii="Arial" w:eastAsia="Times New Roman" w:hAnsi="Arial" w:cs="Arial"/>
                      <w:sz w:val="24"/>
                      <w:szCs w:val="24"/>
                    </w:rPr>
                  </w:pPr>
                  <w:r w:rsidRPr="00ED4D25">
                    <w:rPr>
                      <w:rFonts w:ascii="Arial" w:eastAsia="Times New Roman" w:hAnsi="Arial" w:cs="Arial"/>
                      <w:sz w:val="24"/>
                      <w:szCs w:val="24"/>
                    </w:rPr>
                    <w:t xml:space="preserve">"The privilege against self-incrimination is neither accorded to the passive resistant, nor the person who is ignorant of his rights, nor to one indifferent thereto. It is a fighting clause. Its benefits can be retained only by sustained combat. It </w:t>
                  </w:r>
                  <w:r w:rsidRPr="00ED4D25">
                    <w:rPr>
                      <w:rFonts w:ascii="Arial" w:eastAsia="Times New Roman" w:hAnsi="Arial" w:cs="Arial"/>
                      <w:sz w:val="24"/>
                      <w:szCs w:val="24"/>
                    </w:rPr>
                    <w:t>cannot</w:t>
                  </w:r>
                  <w:r w:rsidRPr="00ED4D25">
                    <w:rPr>
                      <w:rFonts w:ascii="Arial" w:eastAsia="Times New Roman" w:hAnsi="Arial" w:cs="Arial"/>
                      <w:sz w:val="24"/>
                      <w:szCs w:val="24"/>
                    </w:rPr>
                    <w:t xml:space="preserve"> be retained by attorney or solicitor. It is valid only when insisted upon by a belligerent claimant in person. The one who is persuaded by honeyed words or moral suasion to testify or produce documents rather than make a </w:t>
                  </w:r>
                  <w:r w:rsidRPr="00ED4D25">
                    <w:rPr>
                      <w:rFonts w:ascii="Arial" w:eastAsia="Times New Roman" w:hAnsi="Arial" w:cs="Arial"/>
                      <w:sz w:val="24"/>
                      <w:szCs w:val="24"/>
                    </w:rPr>
                    <w:t>last-ditch</w:t>
                  </w:r>
                  <w:r w:rsidRPr="00ED4D25">
                    <w:rPr>
                      <w:rFonts w:ascii="Arial" w:eastAsia="Times New Roman" w:hAnsi="Arial" w:cs="Arial"/>
                      <w:sz w:val="24"/>
                      <w:szCs w:val="24"/>
                    </w:rPr>
                    <w:t xml:space="preserve"> stand, simply loses the protection. Once he testifies to part, he has waived his right and must on cross examination or otherwise, testify as to the whole transaction. He must refuse to answer or produce, and test the matter in contempt proceedings, or by habeas corpus."</w:t>
                  </w:r>
                  <w:r w:rsidRPr="00ED4D25">
                    <w:rPr>
                      <w:rFonts w:ascii="Arial" w:eastAsia="Times New Roman" w:hAnsi="Arial" w:cs="Arial"/>
                      <w:sz w:val="24"/>
                      <w:szCs w:val="24"/>
                    </w:rPr>
                    <w:br/>
                    <w:t>District Judge James Alger Fee</w:t>
                  </w:r>
                  <w:r w:rsidRPr="00ED4D25">
                    <w:rPr>
                      <w:rFonts w:ascii="Arial" w:eastAsia="Times New Roman" w:hAnsi="Arial" w:cs="Arial"/>
                      <w:sz w:val="24"/>
                      <w:szCs w:val="24"/>
                    </w:rPr>
                    <w:br/>
                  </w:r>
                  <w:r w:rsidRPr="00ED4D25">
                    <w:rPr>
                      <w:rFonts w:ascii="Arial" w:eastAsia="Times New Roman" w:hAnsi="Arial" w:cs="Arial"/>
                      <w:sz w:val="24"/>
                      <w:szCs w:val="24"/>
                      <w:u w:val="single"/>
                    </w:rPr>
                    <w:t>United States v. Johnson</w:t>
                  </w:r>
                  <w:r w:rsidRPr="00ED4D25">
                    <w:rPr>
                      <w:rFonts w:ascii="Arial" w:eastAsia="Times New Roman" w:hAnsi="Arial" w:cs="Arial"/>
                      <w:sz w:val="24"/>
                      <w:szCs w:val="24"/>
                    </w:rPr>
                    <w:t>, 76 F. Supp. 538 (at page 540)</w:t>
                  </w:r>
                  <w:r w:rsidRPr="00ED4D25">
                    <w:rPr>
                      <w:rFonts w:ascii="Arial" w:eastAsia="Times New Roman" w:hAnsi="Arial" w:cs="Arial"/>
                      <w:sz w:val="24"/>
                      <w:szCs w:val="24"/>
                    </w:rPr>
                    <w:br/>
                    <w:t>District Court, M.D. Pennsylvania Feb. 26, 1947</w:t>
                  </w:r>
                </w:p>
              </w:tc>
            </w:tr>
          </w:tbl>
          <w:p w14:paraId="461118AD" w14:textId="77777777" w:rsidR="00ED4D25" w:rsidRPr="00ED4D25" w:rsidRDefault="00ED4D25" w:rsidP="00ED4D25">
            <w:pPr>
              <w:spacing w:after="0" w:line="240" w:lineRule="auto"/>
              <w:rPr>
                <w:rFonts w:ascii="Helvetica" w:eastAsia="Times New Roman" w:hAnsi="Helvetica" w:cs="Helvetica"/>
                <w:color w:val="222222"/>
                <w:sz w:val="18"/>
                <w:szCs w:val="18"/>
              </w:rPr>
            </w:pPr>
          </w:p>
        </w:tc>
      </w:tr>
    </w:tbl>
    <w:p w14:paraId="4340BD8F" w14:textId="77777777" w:rsidR="00ED4D25" w:rsidRPr="00ED4D25" w:rsidRDefault="00ED4D25" w:rsidP="00ED4D25">
      <w:pPr>
        <w:spacing w:after="0" w:line="240" w:lineRule="auto"/>
        <w:rPr>
          <w:rFonts w:ascii="Verdana" w:eastAsia="Times New Roman" w:hAnsi="Verdana" w:cs="Times New Roman"/>
          <w:color w:val="888888"/>
          <w:sz w:val="18"/>
          <w:szCs w:val="18"/>
          <w:shd w:val="clear" w:color="auto" w:fill="FFFFFF"/>
        </w:rPr>
      </w:pPr>
      <w:r w:rsidRPr="00ED4D25">
        <w:rPr>
          <w:rFonts w:ascii="Verdana" w:eastAsia="Times New Roman" w:hAnsi="Verdana" w:cs="Times New Roman"/>
          <w:color w:val="888888"/>
          <w:sz w:val="18"/>
          <w:szCs w:val="18"/>
          <w:shd w:val="clear" w:color="auto" w:fill="FFFFFF"/>
        </w:rPr>
        <w:lastRenderedPageBreak/>
        <w:br/>
        <w:t> </w:t>
      </w:r>
    </w:p>
    <w:p w14:paraId="25B4EE18" w14:textId="77777777" w:rsidR="00ED4D25" w:rsidRPr="00ED4D25" w:rsidRDefault="00ED4D25" w:rsidP="00ED4D25">
      <w:pPr>
        <w:spacing w:after="0" w:line="240" w:lineRule="auto"/>
        <w:rPr>
          <w:rFonts w:ascii="Verdana" w:eastAsia="Times New Roman" w:hAnsi="Verdana" w:cs="Times New Roman"/>
          <w:color w:val="888888"/>
          <w:sz w:val="18"/>
          <w:szCs w:val="18"/>
          <w:shd w:val="clear" w:color="auto" w:fill="FFFFFF"/>
        </w:rPr>
      </w:pPr>
      <w:r w:rsidRPr="00ED4D25">
        <w:rPr>
          <w:rFonts w:ascii="Verdana" w:eastAsia="Times New Roman" w:hAnsi="Verdana" w:cs="Times New Roman"/>
          <w:color w:val="888888"/>
          <w:sz w:val="18"/>
          <w:szCs w:val="18"/>
          <w:shd w:val="clear" w:color="auto" w:fill="FFFFFF"/>
        </w:rPr>
        <w:t> </w:t>
      </w:r>
    </w:p>
    <w:p w14:paraId="291ECBB6" w14:textId="77777777" w:rsidR="0083008F" w:rsidRDefault="00723FEF"/>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D25"/>
    <w:rsid w:val="00562C78"/>
    <w:rsid w:val="00723FEF"/>
    <w:rsid w:val="00C7518B"/>
    <w:rsid w:val="00ED4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A1FB3"/>
  <w15:chartTrackingRefBased/>
  <w15:docId w15:val="{7FA34255-66F7-40C5-BB43-1DDA0669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855530">
      <w:bodyDiv w:val="1"/>
      <w:marLeft w:val="0"/>
      <w:marRight w:val="0"/>
      <w:marTop w:val="0"/>
      <w:marBottom w:val="0"/>
      <w:divBdr>
        <w:top w:val="none" w:sz="0" w:space="0" w:color="auto"/>
        <w:left w:val="none" w:sz="0" w:space="0" w:color="auto"/>
        <w:bottom w:val="none" w:sz="0" w:space="0" w:color="auto"/>
        <w:right w:val="none" w:sz="0" w:space="0" w:color="auto"/>
      </w:divBdr>
      <w:divsChild>
        <w:div w:id="1253199171">
          <w:blockQuote w:val="1"/>
          <w:marLeft w:val="720"/>
          <w:marRight w:val="720"/>
          <w:marTop w:val="100"/>
          <w:marBottom w:val="100"/>
          <w:divBdr>
            <w:top w:val="none" w:sz="0" w:space="0" w:color="auto"/>
            <w:left w:val="none" w:sz="0" w:space="0" w:color="auto"/>
            <w:bottom w:val="none" w:sz="0" w:space="0" w:color="auto"/>
            <w:right w:val="none" w:sz="0" w:space="0" w:color="auto"/>
          </w:divBdr>
        </w:div>
        <w:div w:id="411856144">
          <w:marLeft w:val="0"/>
          <w:marRight w:val="0"/>
          <w:marTop w:val="0"/>
          <w:marBottom w:val="0"/>
          <w:divBdr>
            <w:top w:val="none" w:sz="0" w:space="0" w:color="auto"/>
            <w:left w:val="none" w:sz="0" w:space="0" w:color="auto"/>
            <w:bottom w:val="none" w:sz="0" w:space="0" w:color="auto"/>
            <w:right w:val="none" w:sz="0" w:space="0" w:color="auto"/>
          </w:divBdr>
        </w:div>
        <w:div w:id="689842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4203</Characters>
  <Application>Microsoft Office Word</Application>
  <DocSecurity>0</DocSecurity>
  <Lines>35</Lines>
  <Paragraphs>9</Paragraphs>
  <ScaleCrop>false</ScaleCrop>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dcterms:created xsi:type="dcterms:W3CDTF">2022-02-16T21:10:00Z</dcterms:created>
  <dcterms:modified xsi:type="dcterms:W3CDTF">2022-02-16T21:10:00Z</dcterms:modified>
</cp:coreProperties>
</file>